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B2B" w:rsidRDefault="00887B2B" w:rsidP="008E61D5">
      <w:pPr>
        <w:pStyle w:val="Heading2"/>
      </w:pPr>
      <w:r>
        <w:t>5</w:t>
      </w:r>
      <w:r w:rsidRPr="007A74CC">
        <w:t>.</w:t>
      </w:r>
      <w:r>
        <w:t>2</w:t>
      </w:r>
      <w:r w:rsidRPr="007A74CC">
        <w:t>.</w:t>
      </w:r>
      <w:r>
        <w:t xml:space="preserve"> Sheet</w:t>
      </w:r>
      <w:r w:rsidRPr="007A74CC">
        <w:t xml:space="preserve"> </w:t>
      </w:r>
      <w:r w:rsidRPr="008E61D5">
        <w:rPr>
          <w:rStyle w:val="Style1Char"/>
          <w:b/>
        </w:rPr>
        <w:t>Cust</w:t>
      </w:r>
      <w:r>
        <w:t xml:space="preserve">, </w:t>
      </w:r>
      <w:r w:rsidRPr="00887B2B">
        <w:t>Historical and Forecasted Customer Data</w:t>
      </w:r>
    </w:p>
    <w:p w:rsidR="00887B2B" w:rsidRDefault="00887B2B" w:rsidP="00887B2B">
      <w:pPr>
        <w:tabs>
          <w:tab w:val="left" w:pos="3540"/>
        </w:tabs>
        <w:rPr>
          <w:rFonts w:cs="Arial"/>
          <w:lang w:val="en-GB"/>
        </w:rPr>
      </w:pPr>
    </w:p>
    <w:p w:rsidR="0050219A" w:rsidRDefault="0050219A" w:rsidP="00887B2B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table should contain data on barangays, households, and customers.</w:t>
      </w:r>
    </w:p>
    <w:p w:rsidR="0050219A" w:rsidRDefault="0050219A" w:rsidP="00887B2B">
      <w:pPr>
        <w:tabs>
          <w:tab w:val="left" w:pos="3540"/>
        </w:tabs>
        <w:rPr>
          <w:rFonts w:cs="Arial"/>
          <w:lang w:val="en-GB"/>
        </w:rPr>
      </w:pPr>
    </w:p>
    <w:p w:rsidR="00887B2B" w:rsidRDefault="00080001" w:rsidP="00887B2B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Cells for historical data are colored gray while cells for forecasted data are colored white. </w:t>
      </w:r>
      <w:r w:rsidR="00887B2B">
        <w:rPr>
          <w:rFonts w:cs="Arial"/>
          <w:lang w:val="en-GB"/>
        </w:rPr>
        <w:t xml:space="preserve">Clicking the up spinner button will </w:t>
      </w:r>
      <w:r w:rsidR="00134326">
        <w:rPr>
          <w:rFonts w:cs="Arial"/>
          <w:lang w:val="en-GB"/>
        </w:rPr>
        <w:t>a</w:t>
      </w:r>
      <w:r w:rsidR="00980CE3">
        <w:rPr>
          <w:rFonts w:cs="Arial"/>
          <w:lang w:val="en-GB"/>
        </w:rPr>
        <w:t>dd</w:t>
      </w:r>
      <w:r w:rsidR="00134326">
        <w:rPr>
          <w:rFonts w:cs="Arial"/>
          <w:lang w:val="en-GB"/>
        </w:rPr>
        <w:t xml:space="preserve"> </w:t>
      </w:r>
      <w:r w:rsidR="00887B2B">
        <w:rPr>
          <w:rFonts w:cs="Arial"/>
          <w:lang w:val="en-GB"/>
        </w:rPr>
        <w:t xml:space="preserve">columns for the following year. This is useful for using the same file for future DDP submissions. Clicking the down spinner button will delete the column for last </w:t>
      </w:r>
      <w:r w:rsidR="00134326">
        <w:rPr>
          <w:rFonts w:cs="Arial"/>
          <w:lang w:val="en-GB"/>
        </w:rPr>
        <w:t>forecast year unless it is 202</w:t>
      </w:r>
      <w:r w:rsidR="00887B2B">
        <w:rPr>
          <w:rFonts w:cs="Arial"/>
          <w:lang w:val="en-GB"/>
        </w:rPr>
        <w:t>8.</w:t>
      </w:r>
      <w:r w:rsidR="000B68C9">
        <w:rPr>
          <w:rFonts w:cs="Arial"/>
          <w:lang w:val="en-GB"/>
        </w:rPr>
        <w:t xml:space="preserve"> </w:t>
      </w:r>
      <w:r w:rsidR="00980CE3">
        <w:rPr>
          <w:rFonts w:cs="Arial"/>
          <w:lang w:val="en-GB"/>
        </w:rPr>
        <w:t xml:space="preserve">This cannot be undone. </w:t>
      </w:r>
      <w:r w:rsidR="00C5272B">
        <w:rPr>
          <w:rFonts w:cs="Arial"/>
          <w:lang w:val="en-GB"/>
        </w:rPr>
        <w:t xml:space="preserve">Before proceeding, ensure that the year labels correspond to those in </w:t>
      </w:r>
      <w:r w:rsidR="00EB066B">
        <w:rPr>
          <w:rFonts w:cs="Arial"/>
          <w:lang w:val="en-GB"/>
        </w:rPr>
        <w:t xml:space="preserve">sheets </w:t>
      </w:r>
      <w:r w:rsidR="00EB066B" w:rsidRPr="00EB066B">
        <w:rPr>
          <w:rStyle w:val="Style1Char"/>
        </w:rPr>
        <w:t>Capt</w:t>
      </w:r>
      <w:r w:rsidR="00EB066B">
        <w:rPr>
          <w:rFonts w:cs="Arial"/>
          <w:lang w:val="en-GB"/>
        </w:rPr>
        <w:t xml:space="preserve"> in </w:t>
      </w:r>
      <w:r w:rsidR="00C5272B">
        <w:rPr>
          <w:rFonts w:cs="Arial"/>
          <w:lang w:val="en-GB"/>
        </w:rPr>
        <w:t>the PSPPs.</w:t>
      </w:r>
    </w:p>
    <w:p w:rsidR="00887B2B" w:rsidRDefault="00887B2B" w:rsidP="00887B2B">
      <w:pPr>
        <w:tabs>
          <w:tab w:val="left" w:pos="3540"/>
        </w:tabs>
        <w:rPr>
          <w:rFonts w:cs="Arial"/>
          <w:lang w:val="en-GB"/>
        </w:rPr>
      </w:pPr>
    </w:p>
    <w:p w:rsidR="00887B2B" w:rsidRDefault="00887B2B" w:rsidP="00887B2B">
      <w:pPr>
        <w:tabs>
          <w:tab w:val="center" w:pos="4514"/>
        </w:tabs>
        <w:rPr>
          <w:rFonts w:cs="Arial"/>
          <w:lang w:val="en-GB"/>
        </w:rPr>
      </w:pPr>
      <w:r>
        <w:rPr>
          <w:rFonts w:cs="Arial"/>
          <w:lang w:val="en-GB"/>
        </w:rPr>
        <w:t>The input fields are as follows:</w:t>
      </w:r>
    </w:p>
    <w:p w:rsidR="00887B2B" w:rsidRDefault="00887B2B" w:rsidP="00887B2B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887B2B" w:rsidRPr="007A74CC" w:rsidTr="00953886">
        <w:trPr>
          <w:cantSplit/>
          <w:tblHeader/>
        </w:trPr>
        <w:tc>
          <w:tcPr>
            <w:tcW w:w="3775" w:type="dxa"/>
            <w:shd w:val="clear" w:color="auto" w:fill="FFFF00"/>
          </w:tcPr>
          <w:p w:rsidR="00887B2B" w:rsidRPr="007A74CC" w:rsidRDefault="00887B2B" w:rsidP="00E00766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887B2B" w:rsidRPr="007A74CC" w:rsidRDefault="00887B2B" w:rsidP="00E00766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887B2B" w:rsidTr="00203CFF">
        <w:trPr>
          <w:cantSplit/>
        </w:trPr>
        <w:tc>
          <w:tcPr>
            <w:tcW w:w="3775" w:type="dxa"/>
          </w:tcPr>
          <w:p w:rsidR="00887B2B" w:rsidRDefault="00980CE3" w:rsidP="000B68C9">
            <w:pPr>
              <w:pStyle w:val="Style1"/>
            </w:pPr>
            <w:r>
              <w:t xml:space="preserve">[X1] = </w:t>
            </w:r>
            <w:r w:rsidR="00134326">
              <w:t>Energized, served by this DU</w:t>
            </w:r>
            <w:r w:rsidR="000B68C9">
              <w:rPr>
                <w:rFonts w:ascii="Arial" w:hAnsi="Arial" w:cs="Arial"/>
                <w:b w:val="0"/>
              </w:rPr>
              <w:t xml:space="preserve"> through </w:t>
            </w:r>
            <w:r w:rsidR="00134326">
              <w:t>Unenergized, waived (no ASP)</w:t>
            </w:r>
          </w:p>
        </w:tc>
        <w:tc>
          <w:tcPr>
            <w:tcW w:w="5244" w:type="dxa"/>
          </w:tcPr>
          <w:p w:rsidR="00887B2B" w:rsidRDefault="000B68C9" w:rsidP="00E00766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 w:rsidRPr="000B68C9">
              <w:rPr>
                <w:rFonts w:cs="Arial"/>
                <w:lang w:val="en-GB"/>
              </w:rPr>
              <w:t>Number of barangays in franchise</w:t>
            </w:r>
            <w:r w:rsidR="006D6B5B">
              <w:rPr>
                <w:rFonts w:cs="Arial"/>
                <w:lang w:val="en-GB"/>
              </w:rPr>
              <w:t xml:space="preserve"> </w:t>
            </w:r>
            <w:r w:rsidR="00953886">
              <w:rPr>
                <w:rFonts w:cs="Arial"/>
                <w:lang w:val="en-GB"/>
              </w:rPr>
              <w:t xml:space="preserve">area </w:t>
            </w:r>
            <w:r w:rsidR="006D6B5B">
              <w:rPr>
                <w:rFonts w:cs="Arial"/>
                <w:lang w:val="en-GB"/>
              </w:rPr>
              <w:t>for the year, both historical and forecasted</w:t>
            </w:r>
          </w:p>
        </w:tc>
      </w:tr>
      <w:tr w:rsidR="000B68C9" w:rsidTr="00203CFF">
        <w:trPr>
          <w:cantSplit/>
        </w:trPr>
        <w:tc>
          <w:tcPr>
            <w:tcW w:w="3775" w:type="dxa"/>
          </w:tcPr>
          <w:p w:rsidR="000B68C9" w:rsidRDefault="00980CE3" w:rsidP="00980CE3">
            <w:pPr>
              <w:pStyle w:val="Style1"/>
            </w:pPr>
            <w:r>
              <w:t xml:space="preserve">[X2] = </w:t>
            </w:r>
            <w:r w:rsidR="000B68C9">
              <w:t>Energized, served by this DU</w:t>
            </w:r>
            <w:r w:rsidR="000B68C9">
              <w:rPr>
                <w:rFonts w:ascii="Arial" w:hAnsi="Arial" w:cs="Arial"/>
                <w:b w:val="0"/>
              </w:rPr>
              <w:t xml:space="preserve"> through </w:t>
            </w:r>
            <w:r w:rsidR="000B68C9">
              <w:t>Unenergized, waived (no ASP)</w:t>
            </w:r>
          </w:p>
        </w:tc>
        <w:tc>
          <w:tcPr>
            <w:tcW w:w="5244" w:type="dxa"/>
          </w:tcPr>
          <w:p w:rsidR="000B68C9" w:rsidRDefault="000B68C9" w:rsidP="000B68C9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 w:rsidRPr="000B68C9">
              <w:rPr>
                <w:rFonts w:cs="Arial"/>
                <w:lang w:val="en-GB"/>
              </w:rPr>
              <w:t>Number of households in franchise</w:t>
            </w:r>
            <w:r w:rsidR="006D6B5B">
              <w:rPr>
                <w:rFonts w:cs="Arial"/>
                <w:lang w:val="en-GB"/>
              </w:rPr>
              <w:t xml:space="preserve"> </w:t>
            </w:r>
            <w:r w:rsidR="00953886">
              <w:rPr>
                <w:rFonts w:cs="Arial"/>
                <w:lang w:val="en-GB"/>
              </w:rPr>
              <w:t xml:space="preserve">area </w:t>
            </w:r>
            <w:r w:rsidR="006D6B5B">
              <w:rPr>
                <w:rFonts w:cs="Arial"/>
                <w:lang w:val="en-GB"/>
              </w:rPr>
              <w:t>for the year, both historical and forecasted</w:t>
            </w:r>
          </w:p>
        </w:tc>
      </w:tr>
      <w:tr w:rsidR="000B68C9" w:rsidTr="00203CFF">
        <w:trPr>
          <w:cantSplit/>
        </w:trPr>
        <w:tc>
          <w:tcPr>
            <w:tcW w:w="3775" w:type="dxa"/>
          </w:tcPr>
          <w:p w:rsidR="000B68C9" w:rsidRDefault="000B68C9" w:rsidP="000B68C9">
            <w:pPr>
              <w:pStyle w:val="Style1"/>
            </w:pPr>
            <w:r w:rsidRPr="00134326">
              <w:t>Number of barangays outside franchise being served</w:t>
            </w:r>
          </w:p>
        </w:tc>
        <w:tc>
          <w:tcPr>
            <w:tcW w:w="5244" w:type="dxa"/>
          </w:tcPr>
          <w:p w:rsidR="000B68C9" w:rsidRDefault="006D6B5B" w:rsidP="000B68C9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 w:rsidRPr="006D6B5B">
              <w:rPr>
                <w:rFonts w:cs="Arial"/>
                <w:lang w:val="en-GB"/>
              </w:rPr>
              <w:t xml:space="preserve">Number of barangays outside franchise </w:t>
            </w:r>
            <w:r w:rsidR="00953886">
              <w:rPr>
                <w:rFonts w:cs="Arial"/>
                <w:lang w:val="en-GB"/>
              </w:rPr>
              <w:t xml:space="preserve">area </w:t>
            </w:r>
            <w:r w:rsidRPr="006D6B5B">
              <w:rPr>
                <w:rFonts w:cs="Arial"/>
                <w:lang w:val="en-GB"/>
              </w:rPr>
              <w:t>being served</w:t>
            </w:r>
            <w:r>
              <w:rPr>
                <w:rFonts w:cs="Arial"/>
                <w:lang w:val="en-GB"/>
              </w:rPr>
              <w:t>, both historical and forecasted</w:t>
            </w:r>
          </w:p>
        </w:tc>
      </w:tr>
      <w:tr w:rsidR="004B24BD" w:rsidTr="00203CFF">
        <w:trPr>
          <w:cantSplit/>
        </w:trPr>
        <w:tc>
          <w:tcPr>
            <w:tcW w:w="3775" w:type="dxa"/>
          </w:tcPr>
          <w:p w:rsidR="004B24BD" w:rsidRDefault="004B24BD" w:rsidP="004B24BD">
            <w:pPr>
              <w:pStyle w:val="Style1"/>
            </w:pPr>
            <w:r>
              <w:t xml:space="preserve">[Y1] = </w:t>
            </w:r>
            <w:r w:rsidRPr="007A74CC">
              <w:t>Residential</w:t>
            </w:r>
            <w:r>
              <w:rPr>
                <w:rFonts w:ascii="Arial" w:hAnsi="Arial" w:cs="Arial"/>
                <w:b w:val="0"/>
              </w:rPr>
              <w:t xml:space="preserve">, </w:t>
            </w:r>
            <w:r w:rsidRPr="005A57B0">
              <w:t>Commercial</w:t>
            </w:r>
            <w:r>
              <w:rPr>
                <w:rFonts w:ascii="Arial" w:hAnsi="Arial" w:cs="Arial"/>
                <w:b w:val="0"/>
              </w:rPr>
              <w:t xml:space="preserve">, </w:t>
            </w:r>
            <w:r w:rsidRPr="005A57B0">
              <w:t>Industrial</w:t>
            </w:r>
            <w:r>
              <w:rPr>
                <w:rFonts w:ascii="Arial" w:hAnsi="Arial" w:cs="Arial"/>
                <w:b w:val="0"/>
              </w:rPr>
              <w:t xml:space="preserve">, </w:t>
            </w:r>
            <w:r>
              <w:t>Others</w:t>
            </w:r>
          </w:p>
        </w:tc>
        <w:tc>
          <w:tcPr>
            <w:tcW w:w="5244" w:type="dxa"/>
          </w:tcPr>
          <w:p w:rsidR="004B24BD" w:rsidRDefault="004B24BD" w:rsidP="00D470D8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 w:rsidRPr="00F8509D">
              <w:rPr>
                <w:rFonts w:cs="Arial"/>
                <w:lang w:val="en-GB"/>
              </w:rPr>
              <w:t xml:space="preserve">Number of customer connections outside franchise </w:t>
            </w:r>
            <w:r w:rsidR="00953886">
              <w:rPr>
                <w:rFonts w:cs="Arial"/>
                <w:lang w:val="en-GB"/>
              </w:rPr>
              <w:t xml:space="preserve">area </w:t>
            </w:r>
            <w:r>
              <w:rPr>
                <w:rFonts w:cs="Arial"/>
                <w:lang w:val="en-GB"/>
              </w:rPr>
              <w:t xml:space="preserve">for </w:t>
            </w:r>
            <w:r w:rsidR="00564E95">
              <w:rPr>
                <w:rFonts w:cs="Arial"/>
                <w:lang w:val="en-GB"/>
              </w:rPr>
              <w:t>the year</w:t>
            </w:r>
            <w:r w:rsidR="000E1F30">
              <w:rPr>
                <w:rFonts w:cs="Arial"/>
                <w:lang w:val="en-GB"/>
              </w:rPr>
              <w:t>, both historical and forecasted</w:t>
            </w:r>
          </w:p>
        </w:tc>
      </w:tr>
      <w:tr w:rsidR="004B24BD" w:rsidTr="00203CFF">
        <w:trPr>
          <w:cantSplit/>
        </w:trPr>
        <w:tc>
          <w:tcPr>
            <w:tcW w:w="3775" w:type="dxa"/>
          </w:tcPr>
          <w:p w:rsidR="004B24BD" w:rsidRDefault="004B24BD" w:rsidP="004B24BD">
            <w:pPr>
              <w:pStyle w:val="Style1"/>
            </w:pPr>
            <w:r>
              <w:t xml:space="preserve">[Y2] = </w:t>
            </w:r>
            <w:r w:rsidRPr="007A74CC">
              <w:t>Residential</w:t>
            </w:r>
            <w:r>
              <w:rPr>
                <w:rFonts w:ascii="Arial" w:hAnsi="Arial" w:cs="Arial"/>
                <w:b w:val="0"/>
              </w:rPr>
              <w:t xml:space="preserve">, </w:t>
            </w:r>
            <w:r w:rsidRPr="005A57B0">
              <w:t>Commercial</w:t>
            </w:r>
            <w:r>
              <w:rPr>
                <w:rFonts w:ascii="Arial" w:hAnsi="Arial" w:cs="Arial"/>
                <w:b w:val="0"/>
              </w:rPr>
              <w:t xml:space="preserve">, </w:t>
            </w:r>
            <w:r w:rsidRPr="005A57B0">
              <w:t>Industrial</w:t>
            </w:r>
            <w:r>
              <w:rPr>
                <w:rFonts w:ascii="Arial" w:hAnsi="Arial" w:cs="Arial"/>
                <w:b w:val="0"/>
              </w:rPr>
              <w:t xml:space="preserve">, </w:t>
            </w:r>
            <w:r>
              <w:t>Others</w:t>
            </w:r>
          </w:p>
        </w:tc>
        <w:tc>
          <w:tcPr>
            <w:tcW w:w="5244" w:type="dxa"/>
          </w:tcPr>
          <w:p w:rsidR="004B24BD" w:rsidRDefault="004B24BD" w:rsidP="00953886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 w:rsidRPr="00F8509D">
              <w:rPr>
                <w:rFonts w:cs="Arial"/>
                <w:lang w:val="en-GB"/>
              </w:rPr>
              <w:t xml:space="preserve">Number of captive customer connections </w:t>
            </w:r>
            <w:r>
              <w:rPr>
                <w:rFonts w:cs="Arial"/>
                <w:lang w:val="en-GB"/>
              </w:rPr>
              <w:t>for the year</w:t>
            </w:r>
            <w:r w:rsidR="000E1F30">
              <w:rPr>
                <w:rFonts w:cs="Arial"/>
                <w:lang w:val="en-GB"/>
              </w:rPr>
              <w:t>, both historical and forecasted</w:t>
            </w:r>
            <w:r w:rsidR="00D470D8">
              <w:rPr>
                <w:rFonts w:cs="Arial"/>
                <w:lang w:val="en-GB"/>
              </w:rPr>
              <w:t>, as derived from PSPPs</w:t>
            </w:r>
          </w:p>
        </w:tc>
      </w:tr>
      <w:tr w:rsidR="004B24BD" w:rsidTr="00203CFF">
        <w:trPr>
          <w:cantSplit/>
        </w:trPr>
        <w:tc>
          <w:tcPr>
            <w:tcW w:w="3775" w:type="dxa"/>
          </w:tcPr>
          <w:p w:rsidR="004B24BD" w:rsidRDefault="004B24BD" w:rsidP="00D20C3B">
            <w:pPr>
              <w:pStyle w:val="Style1"/>
              <w:tabs>
                <w:tab w:val="left" w:pos="2265"/>
              </w:tabs>
            </w:pPr>
            <w:r>
              <w:t>Unserved by RES, ≥ 1 MW</w:t>
            </w:r>
            <w:r w:rsidRPr="000B68C9">
              <w:rPr>
                <w:rFonts w:ascii="Arial" w:hAnsi="Arial" w:cs="Arial"/>
                <w:b w:val="0"/>
              </w:rPr>
              <w:t xml:space="preserve"> through </w:t>
            </w:r>
            <w:r w:rsidR="00D20C3B">
              <w:t>Switched</w:t>
            </w:r>
            <w:r>
              <w:t>, (500 kW, 750 kW)</w:t>
            </w:r>
          </w:p>
        </w:tc>
        <w:tc>
          <w:tcPr>
            <w:tcW w:w="5244" w:type="dxa"/>
          </w:tcPr>
          <w:p w:rsidR="004B24BD" w:rsidRDefault="004B24BD" w:rsidP="004B24BD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 w:rsidRPr="000B68C9">
              <w:rPr>
                <w:rFonts w:cs="Arial"/>
                <w:lang w:val="en-GB"/>
              </w:rPr>
              <w:t>Number of contestable customers</w:t>
            </w:r>
            <w:r>
              <w:rPr>
                <w:rFonts w:cs="Arial"/>
                <w:lang w:val="en-GB"/>
              </w:rPr>
              <w:t>, both historical and forecasted</w:t>
            </w:r>
          </w:p>
        </w:tc>
      </w:tr>
      <w:tr w:rsidR="004B24BD" w:rsidTr="00203CFF">
        <w:trPr>
          <w:cantSplit/>
        </w:trPr>
        <w:tc>
          <w:tcPr>
            <w:tcW w:w="3775" w:type="dxa"/>
          </w:tcPr>
          <w:p w:rsidR="004B24BD" w:rsidRDefault="004B24BD" w:rsidP="00D20C3B">
            <w:pPr>
              <w:pStyle w:val="Style1"/>
              <w:tabs>
                <w:tab w:val="left" w:pos="2265"/>
              </w:tabs>
            </w:pPr>
            <w:r w:rsidRPr="007C6BBB">
              <w:t xml:space="preserve">NCP MW of </w:t>
            </w:r>
            <w:r w:rsidR="00D20C3B">
              <w:t>switched contestable customers</w:t>
            </w:r>
          </w:p>
        </w:tc>
        <w:tc>
          <w:tcPr>
            <w:tcW w:w="5244" w:type="dxa"/>
          </w:tcPr>
          <w:p w:rsidR="004B24BD" w:rsidRPr="000B68C9" w:rsidRDefault="004B24BD" w:rsidP="00D20C3B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Non-coincident peak MW </w:t>
            </w:r>
            <w:r w:rsidRPr="000B68C9">
              <w:rPr>
                <w:rFonts w:cs="Arial"/>
                <w:lang w:val="en-GB"/>
              </w:rPr>
              <w:t xml:space="preserve">of </w:t>
            </w:r>
            <w:r w:rsidR="00D20C3B">
              <w:rPr>
                <w:rFonts w:cs="Arial"/>
                <w:lang w:val="en-GB"/>
              </w:rPr>
              <w:t>C</w:t>
            </w:r>
            <w:r>
              <w:rPr>
                <w:rFonts w:cs="Arial"/>
                <w:lang w:val="en-GB"/>
              </w:rPr>
              <w:t xml:space="preserve">ontestable </w:t>
            </w:r>
            <w:r w:rsidR="00D20C3B">
              <w:rPr>
                <w:rFonts w:cs="Arial"/>
                <w:lang w:val="en-GB"/>
              </w:rPr>
              <w:t>C</w:t>
            </w:r>
            <w:r>
              <w:rPr>
                <w:rFonts w:cs="Arial"/>
                <w:lang w:val="en-GB"/>
              </w:rPr>
              <w:t>ustomers served by RES, both historical and forecasted</w:t>
            </w:r>
          </w:p>
        </w:tc>
      </w:tr>
      <w:tr w:rsidR="004B24BD" w:rsidTr="00203CFF">
        <w:trPr>
          <w:cantSplit/>
        </w:trPr>
        <w:tc>
          <w:tcPr>
            <w:tcW w:w="3775" w:type="dxa"/>
          </w:tcPr>
          <w:p w:rsidR="004B24BD" w:rsidRPr="007C6BBB" w:rsidRDefault="004B24BD" w:rsidP="00D20C3B">
            <w:pPr>
              <w:pStyle w:val="Style1"/>
              <w:tabs>
                <w:tab w:val="left" w:pos="2265"/>
              </w:tabs>
            </w:pPr>
            <w:r w:rsidRPr="007C6BBB">
              <w:t xml:space="preserve">Total MWh of </w:t>
            </w:r>
            <w:r w:rsidR="00D20C3B">
              <w:t>switched contestable customers</w:t>
            </w:r>
          </w:p>
        </w:tc>
        <w:tc>
          <w:tcPr>
            <w:tcW w:w="5244" w:type="dxa"/>
          </w:tcPr>
          <w:p w:rsidR="004B24BD" w:rsidRPr="000B68C9" w:rsidRDefault="004B24BD" w:rsidP="00953886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 w:rsidRPr="000B68C9">
              <w:rPr>
                <w:rFonts w:cs="Arial"/>
                <w:lang w:val="en-GB"/>
              </w:rPr>
              <w:t xml:space="preserve">MWh </w:t>
            </w:r>
            <w:r w:rsidR="00953886">
              <w:rPr>
                <w:rFonts w:cs="Arial"/>
                <w:lang w:val="en-GB"/>
              </w:rPr>
              <w:t xml:space="preserve">consumption </w:t>
            </w:r>
            <w:r w:rsidRPr="000B68C9">
              <w:rPr>
                <w:rFonts w:cs="Arial"/>
                <w:lang w:val="en-GB"/>
              </w:rPr>
              <w:t xml:space="preserve">of </w:t>
            </w:r>
            <w:r>
              <w:rPr>
                <w:rFonts w:cs="Arial"/>
                <w:lang w:val="en-GB"/>
              </w:rPr>
              <w:t>contestable customers served by RES, both historical and forecasted</w:t>
            </w:r>
          </w:p>
        </w:tc>
      </w:tr>
      <w:tr w:rsidR="004B24BD" w:rsidTr="00203CFF">
        <w:trPr>
          <w:cantSplit/>
        </w:trPr>
        <w:tc>
          <w:tcPr>
            <w:tcW w:w="3775" w:type="dxa"/>
          </w:tcPr>
          <w:p w:rsidR="004B24BD" w:rsidRDefault="004B24BD" w:rsidP="004B24BD">
            <w:pPr>
              <w:pStyle w:val="Style1"/>
            </w:pPr>
            <w:r>
              <w:t>[Z1] = Solar</w:t>
            </w:r>
            <w:r w:rsidRPr="000B68C9">
              <w:rPr>
                <w:rFonts w:ascii="Arial" w:hAnsi="Arial" w:cs="Arial"/>
                <w:b w:val="0"/>
              </w:rPr>
              <w:t xml:space="preserve">, </w:t>
            </w:r>
            <w:r>
              <w:t>Wind</w:t>
            </w:r>
            <w:r w:rsidRPr="000B68C9">
              <w:rPr>
                <w:rFonts w:ascii="Arial" w:hAnsi="Arial" w:cs="Arial"/>
                <w:b w:val="0"/>
              </w:rPr>
              <w:t>,</w:t>
            </w:r>
            <w:r>
              <w:rPr>
                <w:rFonts w:ascii="Arial" w:hAnsi="Arial" w:cs="Arial"/>
                <w:b w:val="0"/>
              </w:rPr>
              <w:t xml:space="preserve"> </w:t>
            </w:r>
            <w:r>
              <w:t>Biomass or Biogas</w:t>
            </w:r>
            <w:r w:rsidRPr="000B68C9">
              <w:rPr>
                <w:rFonts w:ascii="Arial" w:hAnsi="Arial" w:cs="Arial"/>
                <w:b w:val="0"/>
              </w:rPr>
              <w:t>,</w:t>
            </w:r>
            <w:r>
              <w:rPr>
                <w:rFonts w:ascii="Arial" w:hAnsi="Arial" w:cs="Arial"/>
                <w:b w:val="0"/>
              </w:rPr>
              <w:t xml:space="preserve"> </w:t>
            </w:r>
            <w:r>
              <w:t>Other RE System</w:t>
            </w:r>
          </w:p>
        </w:tc>
        <w:tc>
          <w:tcPr>
            <w:tcW w:w="5244" w:type="dxa"/>
          </w:tcPr>
          <w:p w:rsidR="004B24BD" w:rsidRDefault="004B24BD" w:rsidP="00D470D8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 w:rsidRPr="000B68C9">
              <w:rPr>
                <w:rFonts w:cs="Arial"/>
                <w:lang w:val="en-GB"/>
              </w:rPr>
              <w:t xml:space="preserve">Number of </w:t>
            </w:r>
            <w:r w:rsidR="00D470D8">
              <w:rPr>
                <w:rFonts w:cs="Arial"/>
                <w:lang w:val="en-GB"/>
              </w:rPr>
              <w:t xml:space="preserve">NM </w:t>
            </w:r>
            <w:r w:rsidRPr="000B68C9">
              <w:rPr>
                <w:rFonts w:cs="Arial"/>
                <w:lang w:val="en-GB"/>
              </w:rPr>
              <w:t>customers</w:t>
            </w:r>
            <w:r>
              <w:rPr>
                <w:rFonts w:cs="Arial"/>
                <w:lang w:val="en-GB"/>
              </w:rPr>
              <w:t>, both historical and forecasted</w:t>
            </w:r>
          </w:p>
        </w:tc>
      </w:tr>
      <w:tr w:rsidR="004B24BD" w:rsidTr="00203CFF">
        <w:trPr>
          <w:cantSplit/>
        </w:trPr>
        <w:tc>
          <w:tcPr>
            <w:tcW w:w="3775" w:type="dxa"/>
          </w:tcPr>
          <w:p w:rsidR="004B24BD" w:rsidRDefault="004B24BD" w:rsidP="004B24BD">
            <w:pPr>
              <w:pStyle w:val="Style1"/>
            </w:pPr>
            <w:r>
              <w:t>[Z2] = Solar</w:t>
            </w:r>
            <w:r w:rsidRPr="000B68C9">
              <w:rPr>
                <w:rFonts w:ascii="Arial" w:hAnsi="Arial" w:cs="Arial"/>
                <w:b w:val="0"/>
              </w:rPr>
              <w:t xml:space="preserve">, </w:t>
            </w:r>
            <w:r>
              <w:t>Wind</w:t>
            </w:r>
            <w:r w:rsidRPr="000B68C9">
              <w:rPr>
                <w:rFonts w:ascii="Arial" w:hAnsi="Arial" w:cs="Arial"/>
                <w:b w:val="0"/>
              </w:rPr>
              <w:t>,</w:t>
            </w:r>
            <w:r>
              <w:rPr>
                <w:rFonts w:ascii="Arial" w:hAnsi="Arial" w:cs="Arial"/>
                <w:b w:val="0"/>
              </w:rPr>
              <w:t xml:space="preserve"> </w:t>
            </w:r>
            <w:r>
              <w:t>Biomass or Biogas</w:t>
            </w:r>
            <w:r w:rsidRPr="000B68C9">
              <w:rPr>
                <w:rFonts w:ascii="Arial" w:hAnsi="Arial" w:cs="Arial"/>
                <w:b w:val="0"/>
              </w:rPr>
              <w:t>,</w:t>
            </w:r>
            <w:r>
              <w:rPr>
                <w:rFonts w:ascii="Arial" w:hAnsi="Arial" w:cs="Arial"/>
                <w:b w:val="0"/>
              </w:rPr>
              <w:t xml:space="preserve"> </w:t>
            </w:r>
            <w:r>
              <w:t>Other RE System</w:t>
            </w:r>
          </w:p>
        </w:tc>
        <w:tc>
          <w:tcPr>
            <w:tcW w:w="5244" w:type="dxa"/>
          </w:tcPr>
          <w:p w:rsidR="004B24BD" w:rsidRDefault="00953886" w:rsidP="00D470D8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MWh g</w:t>
            </w:r>
            <w:r w:rsidR="004B24BD" w:rsidRPr="000B68C9">
              <w:rPr>
                <w:rFonts w:cs="Arial"/>
                <w:lang w:val="en-GB"/>
              </w:rPr>
              <w:t xml:space="preserve">eneration of </w:t>
            </w:r>
            <w:r w:rsidR="00D470D8">
              <w:rPr>
                <w:rFonts w:cs="Arial"/>
                <w:lang w:val="en-GB"/>
              </w:rPr>
              <w:t xml:space="preserve">NM </w:t>
            </w:r>
            <w:r w:rsidR="004B24BD" w:rsidRPr="000B68C9">
              <w:rPr>
                <w:rFonts w:cs="Arial"/>
                <w:lang w:val="en-GB"/>
              </w:rPr>
              <w:t>customers</w:t>
            </w:r>
            <w:r w:rsidR="004B24BD">
              <w:rPr>
                <w:rFonts w:cs="Arial"/>
                <w:lang w:val="en-GB"/>
              </w:rPr>
              <w:t>, both historical and forecasted</w:t>
            </w:r>
          </w:p>
        </w:tc>
      </w:tr>
      <w:tr w:rsidR="004B24BD" w:rsidTr="00203CFF">
        <w:trPr>
          <w:cantSplit/>
        </w:trPr>
        <w:tc>
          <w:tcPr>
            <w:tcW w:w="3775" w:type="dxa"/>
          </w:tcPr>
          <w:p w:rsidR="004B24BD" w:rsidRDefault="004B24BD" w:rsidP="004B24BD">
            <w:pPr>
              <w:pStyle w:val="Style1"/>
            </w:pPr>
            <w:r w:rsidRPr="00134326">
              <w:t>Number of GEOP Customers</w:t>
            </w:r>
          </w:p>
        </w:tc>
        <w:tc>
          <w:tcPr>
            <w:tcW w:w="5244" w:type="dxa"/>
          </w:tcPr>
          <w:p w:rsidR="004B24BD" w:rsidRDefault="004B24BD" w:rsidP="00DC01C0">
            <w:pPr>
              <w:tabs>
                <w:tab w:val="center" w:pos="2514"/>
                <w:tab w:val="left" w:pos="3540"/>
              </w:tabs>
              <w:rPr>
                <w:rFonts w:cs="Arial"/>
                <w:lang w:val="en-GB"/>
              </w:rPr>
            </w:pPr>
            <w:r w:rsidRPr="006D6B5B">
              <w:rPr>
                <w:rFonts w:cs="Arial"/>
                <w:lang w:val="en-GB"/>
              </w:rPr>
              <w:t xml:space="preserve">Number of </w:t>
            </w:r>
            <w:r w:rsidR="00DC01C0">
              <w:rPr>
                <w:rFonts w:cs="Arial"/>
                <w:lang w:val="en-GB"/>
              </w:rPr>
              <w:t>customers that avail of the Green Energy Option (</w:t>
            </w:r>
            <w:r w:rsidRPr="006D6B5B">
              <w:rPr>
                <w:rFonts w:cs="Arial"/>
                <w:lang w:val="en-GB"/>
              </w:rPr>
              <w:t>GEOP</w:t>
            </w:r>
            <w:r w:rsidR="00DC01C0">
              <w:rPr>
                <w:rFonts w:cs="Arial"/>
                <w:lang w:val="en-GB"/>
              </w:rPr>
              <w:t>)</w:t>
            </w:r>
            <w:r>
              <w:rPr>
                <w:rFonts w:cs="Arial"/>
                <w:lang w:val="en-GB"/>
              </w:rPr>
              <w:t>, both historical and forecasted</w:t>
            </w:r>
          </w:p>
        </w:tc>
      </w:tr>
      <w:tr w:rsidR="004B24BD" w:rsidTr="00203CFF">
        <w:trPr>
          <w:cantSplit/>
        </w:trPr>
        <w:tc>
          <w:tcPr>
            <w:tcW w:w="3775" w:type="dxa"/>
          </w:tcPr>
          <w:p w:rsidR="004B24BD" w:rsidRPr="00134326" w:rsidRDefault="004B24BD" w:rsidP="004B24BD">
            <w:pPr>
              <w:pStyle w:val="Style1"/>
            </w:pPr>
            <w:r w:rsidRPr="007C6BBB">
              <w:lastRenderedPageBreak/>
              <w:t>NCP MW of GEOP customers</w:t>
            </w:r>
          </w:p>
        </w:tc>
        <w:tc>
          <w:tcPr>
            <w:tcW w:w="5244" w:type="dxa"/>
          </w:tcPr>
          <w:p w:rsidR="004B24BD" w:rsidRPr="006D6B5B" w:rsidRDefault="004B24BD" w:rsidP="004B24BD">
            <w:pPr>
              <w:tabs>
                <w:tab w:val="center" w:pos="2514"/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Non-coincident peak MW</w:t>
            </w:r>
            <w:r w:rsidRPr="000B68C9">
              <w:rPr>
                <w:rFonts w:cs="Arial"/>
                <w:lang w:val="en-GB"/>
              </w:rPr>
              <w:t xml:space="preserve"> of </w:t>
            </w:r>
            <w:r>
              <w:rPr>
                <w:rFonts w:cs="Arial"/>
                <w:lang w:val="en-GB"/>
              </w:rPr>
              <w:t xml:space="preserve">GEOP </w:t>
            </w:r>
            <w:r w:rsidRPr="000B68C9">
              <w:rPr>
                <w:rFonts w:cs="Arial"/>
                <w:lang w:val="en-GB"/>
              </w:rPr>
              <w:t>customers</w:t>
            </w:r>
            <w:r>
              <w:rPr>
                <w:rFonts w:cs="Arial"/>
                <w:lang w:val="en-GB"/>
              </w:rPr>
              <w:t>, both historical and forecasted</w:t>
            </w:r>
          </w:p>
        </w:tc>
      </w:tr>
      <w:tr w:rsidR="004B24BD" w:rsidTr="00203CFF">
        <w:trPr>
          <w:cantSplit/>
        </w:trPr>
        <w:tc>
          <w:tcPr>
            <w:tcW w:w="3775" w:type="dxa"/>
          </w:tcPr>
          <w:p w:rsidR="004B24BD" w:rsidRPr="00134326" w:rsidRDefault="004B24BD" w:rsidP="004B24BD">
            <w:pPr>
              <w:pStyle w:val="Style1"/>
            </w:pPr>
            <w:r w:rsidRPr="007C6BBB">
              <w:t>Total MWh of GEOP customers</w:t>
            </w:r>
          </w:p>
        </w:tc>
        <w:tc>
          <w:tcPr>
            <w:tcW w:w="5244" w:type="dxa"/>
          </w:tcPr>
          <w:p w:rsidR="004B24BD" w:rsidRPr="006D6B5B" w:rsidRDefault="004B24BD" w:rsidP="00953886">
            <w:pPr>
              <w:tabs>
                <w:tab w:val="center" w:pos="2514"/>
                <w:tab w:val="left" w:pos="3540"/>
              </w:tabs>
              <w:rPr>
                <w:rFonts w:cs="Arial"/>
                <w:lang w:val="en-GB"/>
              </w:rPr>
            </w:pPr>
            <w:r w:rsidRPr="000B68C9">
              <w:rPr>
                <w:rFonts w:cs="Arial"/>
                <w:lang w:val="en-GB"/>
              </w:rPr>
              <w:t xml:space="preserve">MWh </w:t>
            </w:r>
            <w:r w:rsidR="00953886">
              <w:rPr>
                <w:rFonts w:cs="Arial"/>
                <w:lang w:val="en-GB"/>
              </w:rPr>
              <w:t>consumption</w:t>
            </w:r>
            <w:r w:rsidRPr="000B68C9">
              <w:rPr>
                <w:rFonts w:cs="Arial"/>
                <w:lang w:val="en-GB"/>
              </w:rPr>
              <w:t xml:space="preserve"> of </w:t>
            </w:r>
            <w:r>
              <w:rPr>
                <w:rFonts w:cs="Arial"/>
                <w:lang w:val="en-GB"/>
              </w:rPr>
              <w:t xml:space="preserve">GEOP </w:t>
            </w:r>
            <w:r w:rsidRPr="000B68C9">
              <w:rPr>
                <w:rFonts w:cs="Arial"/>
                <w:lang w:val="en-GB"/>
              </w:rPr>
              <w:t>customers</w:t>
            </w:r>
            <w:r>
              <w:rPr>
                <w:rFonts w:cs="Arial"/>
                <w:lang w:val="en-GB"/>
              </w:rPr>
              <w:t>, both historical and forecasted</w:t>
            </w:r>
          </w:p>
        </w:tc>
      </w:tr>
      <w:tr w:rsidR="008D72EE" w:rsidTr="00203CFF">
        <w:trPr>
          <w:cantSplit/>
        </w:trPr>
        <w:tc>
          <w:tcPr>
            <w:tcW w:w="3775" w:type="dxa"/>
          </w:tcPr>
          <w:p w:rsidR="008D72EE" w:rsidRPr="007C6BBB" w:rsidRDefault="00D523AA" w:rsidP="00D523AA">
            <w:pPr>
              <w:pStyle w:val="Style1"/>
            </w:pPr>
            <w:r>
              <w:t>Number of RE Self-g</w:t>
            </w:r>
            <w:r w:rsidR="008D72EE" w:rsidRPr="008D72EE">
              <w:t>enerati</w:t>
            </w:r>
            <w:r>
              <w:t>o</w:t>
            </w:r>
            <w:r w:rsidR="008D72EE" w:rsidRPr="008D72EE">
              <w:t>n Facilities</w:t>
            </w:r>
          </w:p>
        </w:tc>
        <w:tc>
          <w:tcPr>
            <w:tcW w:w="5244" w:type="dxa"/>
          </w:tcPr>
          <w:p w:rsidR="008D72EE" w:rsidRPr="000B68C9" w:rsidRDefault="008D72EE" w:rsidP="008D72EE">
            <w:pPr>
              <w:tabs>
                <w:tab w:val="center" w:pos="2514"/>
                <w:tab w:val="left" w:pos="3540"/>
              </w:tabs>
              <w:rPr>
                <w:rFonts w:cs="Arial"/>
                <w:lang w:val="en-GB"/>
              </w:rPr>
            </w:pPr>
            <w:r w:rsidRPr="006D6B5B">
              <w:rPr>
                <w:rFonts w:cs="Arial"/>
                <w:lang w:val="en-GB"/>
              </w:rPr>
              <w:t xml:space="preserve">Number of </w:t>
            </w:r>
            <w:r>
              <w:rPr>
                <w:rFonts w:cs="Arial"/>
                <w:lang w:val="en-GB"/>
              </w:rPr>
              <w:t>Renewable Energy SGFs, both historical and forecasted</w:t>
            </w:r>
          </w:p>
        </w:tc>
      </w:tr>
      <w:tr w:rsidR="008D72EE" w:rsidTr="00203CFF">
        <w:trPr>
          <w:cantSplit/>
        </w:trPr>
        <w:tc>
          <w:tcPr>
            <w:tcW w:w="3775" w:type="dxa"/>
          </w:tcPr>
          <w:p w:rsidR="008D72EE" w:rsidRPr="007C6BBB" w:rsidRDefault="008D72EE" w:rsidP="00D523AA">
            <w:pPr>
              <w:pStyle w:val="Style1"/>
            </w:pPr>
            <w:r>
              <w:t>Total MW</w:t>
            </w:r>
            <w:r w:rsidRPr="008D72EE">
              <w:t xml:space="preserve"> of RE Self-</w:t>
            </w:r>
            <w:r w:rsidR="00D523AA">
              <w:t>g</w:t>
            </w:r>
            <w:r w:rsidRPr="008D72EE">
              <w:t>enerati</w:t>
            </w:r>
            <w:r w:rsidR="00D523AA">
              <w:t>o</w:t>
            </w:r>
            <w:r w:rsidRPr="008D72EE">
              <w:t>n Facilities</w:t>
            </w:r>
          </w:p>
        </w:tc>
        <w:tc>
          <w:tcPr>
            <w:tcW w:w="5244" w:type="dxa"/>
          </w:tcPr>
          <w:p w:rsidR="008D72EE" w:rsidRPr="000B68C9" w:rsidRDefault="008D72EE" w:rsidP="00953886">
            <w:pPr>
              <w:tabs>
                <w:tab w:val="center" w:pos="2514"/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Aggregate capacity in MW</w:t>
            </w:r>
            <w:r w:rsidRPr="006D6B5B">
              <w:rPr>
                <w:rFonts w:cs="Arial"/>
                <w:lang w:val="en-GB"/>
              </w:rPr>
              <w:t xml:space="preserve"> of </w:t>
            </w:r>
            <w:r>
              <w:rPr>
                <w:rFonts w:cs="Arial"/>
                <w:lang w:val="en-GB"/>
              </w:rPr>
              <w:t>Renewable Energy SGFs, both historical and forecasted</w:t>
            </w:r>
          </w:p>
        </w:tc>
      </w:tr>
      <w:tr w:rsidR="008D72EE" w:rsidTr="00203CFF">
        <w:trPr>
          <w:cantSplit/>
        </w:trPr>
        <w:tc>
          <w:tcPr>
            <w:tcW w:w="3775" w:type="dxa"/>
          </w:tcPr>
          <w:p w:rsidR="008D72EE" w:rsidRPr="007C6BBB" w:rsidRDefault="008D72EE" w:rsidP="00D523AA">
            <w:pPr>
              <w:pStyle w:val="Style1"/>
            </w:pPr>
            <w:r w:rsidRPr="008D72EE">
              <w:t>Total MWh of RE Self-</w:t>
            </w:r>
            <w:r w:rsidR="00D523AA">
              <w:t>g</w:t>
            </w:r>
            <w:r w:rsidRPr="008D72EE">
              <w:t>enerati</w:t>
            </w:r>
            <w:r w:rsidR="00D523AA">
              <w:t>o</w:t>
            </w:r>
            <w:r w:rsidRPr="008D72EE">
              <w:t>n Facilities</w:t>
            </w:r>
          </w:p>
        </w:tc>
        <w:tc>
          <w:tcPr>
            <w:tcW w:w="5244" w:type="dxa"/>
          </w:tcPr>
          <w:p w:rsidR="008D72EE" w:rsidRPr="000B68C9" w:rsidRDefault="008D72EE" w:rsidP="008D72EE">
            <w:pPr>
              <w:tabs>
                <w:tab w:val="center" w:pos="2514"/>
                <w:tab w:val="left" w:pos="3540"/>
              </w:tabs>
              <w:rPr>
                <w:rFonts w:cs="Arial"/>
                <w:lang w:val="en-GB"/>
              </w:rPr>
            </w:pPr>
            <w:r w:rsidRPr="000B68C9">
              <w:rPr>
                <w:rFonts w:cs="Arial"/>
                <w:lang w:val="en-GB"/>
              </w:rPr>
              <w:t xml:space="preserve">MWh </w:t>
            </w:r>
            <w:r>
              <w:rPr>
                <w:rFonts w:cs="Arial"/>
                <w:lang w:val="en-GB"/>
              </w:rPr>
              <w:t>generation</w:t>
            </w:r>
            <w:r w:rsidRPr="000B68C9">
              <w:rPr>
                <w:rFonts w:cs="Arial"/>
                <w:lang w:val="en-GB"/>
              </w:rPr>
              <w:t xml:space="preserve"> of </w:t>
            </w:r>
            <w:r>
              <w:rPr>
                <w:rFonts w:cs="Arial"/>
                <w:lang w:val="en-GB"/>
              </w:rPr>
              <w:t>Renewable Energy SGFs, both historical and forecasted</w:t>
            </w:r>
          </w:p>
        </w:tc>
      </w:tr>
    </w:tbl>
    <w:p w:rsidR="00887B2B" w:rsidRDefault="00887B2B" w:rsidP="00887B2B">
      <w:pPr>
        <w:tabs>
          <w:tab w:val="left" w:pos="3540"/>
        </w:tabs>
        <w:rPr>
          <w:rFonts w:cs="Arial"/>
          <w:lang w:val="en-GB"/>
        </w:rPr>
      </w:pPr>
    </w:p>
    <w:p w:rsidR="00C5272B" w:rsidRDefault="00C5272B" w:rsidP="00C5272B">
      <w:pPr>
        <w:tabs>
          <w:tab w:val="left" w:pos="3540"/>
        </w:tabs>
        <w:rPr>
          <w:rFonts w:cs="Arial"/>
          <w:lang w:val="en-GB"/>
        </w:rPr>
      </w:pPr>
      <w:r w:rsidRPr="00C5272B">
        <w:rPr>
          <w:rStyle w:val="Style1Char"/>
        </w:rPr>
        <w:t>Y2</w:t>
      </w:r>
      <w:r w:rsidR="00D470D8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>shall only be filled by clicking the Refresh button to capture and sum the values in each PSPP.</w:t>
      </w:r>
      <w:r w:rsidR="0050219A">
        <w:rPr>
          <w:rFonts w:cs="Arial"/>
          <w:lang w:val="en-GB"/>
        </w:rPr>
        <w:t xml:space="preserve"> The Refresh button will not work if </w:t>
      </w:r>
      <w:r w:rsidR="0050219A" w:rsidRPr="0050219A">
        <w:rPr>
          <w:rStyle w:val="Style1Char"/>
        </w:rPr>
        <w:t>HistForc</w:t>
      </w:r>
      <w:r w:rsidR="0050219A">
        <w:rPr>
          <w:rFonts w:cs="Arial"/>
          <w:lang w:val="en-GB"/>
        </w:rPr>
        <w:t xml:space="preserve"> is empty.</w:t>
      </w:r>
    </w:p>
    <w:p w:rsidR="00C5272B" w:rsidRDefault="00C5272B" w:rsidP="00887B2B">
      <w:pPr>
        <w:tabs>
          <w:tab w:val="left" w:pos="3540"/>
        </w:tabs>
        <w:rPr>
          <w:rFonts w:cs="Arial"/>
          <w:lang w:val="en-GB"/>
        </w:rPr>
      </w:pPr>
    </w:p>
    <w:p w:rsidR="00D20C3B" w:rsidRDefault="00D20C3B" w:rsidP="00887B2B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The values for </w:t>
      </w:r>
      <w:r w:rsidRPr="00D20C3B">
        <w:rPr>
          <w:rStyle w:val="Style1Char"/>
        </w:rPr>
        <w:t>Z2</w:t>
      </w:r>
      <w:r>
        <w:rPr>
          <w:rFonts w:cs="Arial"/>
          <w:lang w:val="en-GB"/>
        </w:rPr>
        <w:t xml:space="preserve"> must come from </w:t>
      </w:r>
      <w:r w:rsidR="00045EE4">
        <w:rPr>
          <w:rFonts w:cs="Arial"/>
          <w:lang w:val="en-GB"/>
        </w:rPr>
        <w:t xml:space="preserve">Renewable Energy Certificate </w:t>
      </w:r>
      <w:r w:rsidR="00075832">
        <w:rPr>
          <w:rFonts w:cs="Arial"/>
          <w:lang w:val="en-GB"/>
        </w:rPr>
        <w:t>(REC)</w:t>
      </w:r>
      <w:r>
        <w:rPr>
          <w:rFonts w:cs="Arial"/>
          <w:lang w:val="en-GB"/>
        </w:rPr>
        <w:t xml:space="preserve"> meters as required under Section 10 of the “Amended Rules Enabling the Net Metering Program for Renewable Energy” adopted under ERC Resolution No. 06, Series of 2019.</w:t>
      </w:r>
    </w:p>
    <w:p w:rsidR="00D20C3B" w:rsidRDefault="00D20C3B" w:rsidP="00887B2B">
      <w:pPr>
        <w:tabs>
          <w:tab w:val="left" w:pos="3540"/>
        </w:tabs>
        <w:rPr>
          <w:rFonts w:cs="Arial"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38C966EA" wp14:editId="217DFE3E">
            <wp:extent cx="171429" cy="85714"/>
            <wp:effectExtent l="0" t="0" r="63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887B2B" w:rsidRDefault="00887B2B" w:rsidP="00887B2B">
      <w:pPr>
        <w:rPr>
          <w:rFonts w:cs="Arial"/>
          <w:lang w:val="en-GB"/>
        </w:rPr>
      </w:pPr>
    </w:p>
    <w:p w:rsidR="00AE27BB" w:rsidRDefault="00AE27BB" w:rsidP="00AE27BB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798F6530" wp14:editId="0D29EC62">
            <wp:extent cx="171429" cy="85714"/>
            <wp:effectExtent l="0" t="0" r="635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Cust</w:t>
      </w:r>
      <w:r>
        <w:rPr>
          <w:rFonts w:cs="Arial"/>
          <w:lang w:val="en-GB"/>
        </w:rPr>
        <w:t xml:space="preserve"> yields a summary window if there are no errors, or an error message if there is a text value where none should be.</w:t>
      </w:r>
    </w:p>
    <w:p w:rsidR="00AE27BB" w:rsidRDefault="00AE27BB" w:rsidP="00887B2B">
      <w:pPr>
        <w:rPr>
          <w:rFonts w:cs="Arial"/>
          <w:lang w:val="en-GB"/>
        </w:rPr>
      </w:pPr>
      <w:bookmarkStart w:id="0" w:name="_GoBack"/>
      <w:bookmarkEnd w:id="0"/>
    </w:p>
    <w:sectPr w:rsidR="00AE27BB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EDE" w:rsidRDefault="00007EDE" w:rsidP="00C05D63">
      <w:r>
        <w:separator/>
      </w:r>
    </w:p>
  </w:endnote>
  <w:endnote w:type="continuationSeparator" w:id="0">
    <w:p w:rsidR="00007EDE" w:rsidRDefault="00007EDE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EDE" w:rsidRDefault="00007EDE" w:rsidP="00C05D63">
      <w:r>
        <w:separator/>
      </w:r>
    </w:p>
  </w:footnote>
  <w:footnote w:type="continuationSeparator" w:id="0">
    <w:p w:rsidR="00007EDE" w:rsidRDefault="00007EDE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07EDE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5DC0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C3F34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5348"/>
    <w:rsid w:val="00406BCE"/>
    <w:rsid w:val="00406ED8"/>
    <w:rsid w:val="0041432A"/>
    <w:rsid w:val="00414519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2935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0CA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318E6"/>
    <w:rsid w:val="005323B4"/>
    <w:rsid w:val="00545EA9"/>
    <w:rsid w:val="00550347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056F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DEB"/>
    <w:rsid w:val="00744296"/>
    <w:rsid w:val="00744FF1"/>
    <w:rsid w:val="00747426"/>
    <w:rsid w:val="0076162A"/>
    <w:rsid w:val="00775AB2"/>
    <w:rsid w:val="007769CE"/>
    <w:rsid w:val="007870FD"/>
    <w:rsid w:val="00787B03"/>
    <w:rsid w:val="007900A4"/>
    <w:rsid w:val="007956EE"/>
    <w:rsid w:val="007978F5"/>
    <w:rsid w:val="007A29FF"/>
    <w:rsid w:val="007A35F4"/>
    <w:rsid w:val="007A74CC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2E03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6968DEA2-1FFB-4D56-87A9-6B6AA1626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2019-12-11T03:54:00Z</dcterms:created>
  <dcterms:modified xsi:type="dcterms:W3CDTF">2019-12-11T03:54:00Z</dcterms:modified>
</cp:coreProperties>
</file>